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E037" w14:textId="77777777" w:rsidR="00BC1AA3" w:rsidRPr="00BC1AA3" w:rsidRDefault="00BC1AA3" w:rsidP="00BC1AA3">
      <w:pPr>
        <w:spacing w:after="92"/>
        <w:ind w:left="149"/>
        <w:jc w:val="center"/>
        <w:rPr>
          <w:rFonts w:ascii="ＭＳ 明朝" w:eastAsia="ＭＳ 明朝" w:hAnsi="ＭＳ 明朝" w:cs="ＭＳ 明朝"/>
          <w:color w:val="181717"/>
          <w:szCs w:val="28"/>
        </w:rPr>
      </w:pPr>
      <w:r w:rsidRPr="00BC1AA3">
        <w:rPr>
          <w:rFonts w:ascii="ＭＳ 明朝" w:eastAsia="ＭＳ 明朝" w:hAnsi="ＭＳ 明朝" w:cs="ＭＳ 明朝"/>
          <w:b/>
          <w:color w:val="181717"/>
          <w:szCs w:val="28"/>
        </w:rPr>
        <w:t>別添 ２　医療ガス設備の保守点検指針（抜粋）</w:t>
      </w:r>
    </w:p>
    <w:p w14:paraId="4BC73434" w14:textId="77777777" w:rsidR="00BC1AA3" w:rsidRDefault="00BC1AA3" w:rsidP="00BC1AA3">
      <w:pPr>
        <w:spacing w:after="92"/>
        <w:ind w:left="149"/>
        <w:rPr>
          <w:rFonts w:ascii="ＭＳ 明朝" w:eastAsia="ＭＳ 明朝" w:hAnsi="ＭＳ 明朝" w:cs="ＭＳ 明朝"/>
          <w:color w:val="181717"/>
          <w:sz w:val="20"/>
        </w:rPr>
      </w:pPr>
    </w:p>
    <w:p w14:paraId="39C157FA" w14:textId="2CC63AB6" w:rsidR="00BC1AA3" w:rsidRPr="00BC1AA3" w:rsidRDefault="00BC1AA3" w:rsidP="00BC1AA3">
      <w:pPr>
        <w:spacing w:after="92"/>
        <w:ind w:left="149"/>
        <w:rPr>
          <w:rFonts w:ascii="ＭＳ 明朝" w:eastAsia="ＭＳ 明朝" w:hAnsi="ＭＳ 明朝" w:cs="ＭＳ 明朝"/>
          <w:color w:val="181717"/>
          <w:sz w:val="21"/>
          <w:szCs w:val="24"/>
        </w:rPr>
      </w:pPr>
      <w:r w:rsidRPr="00BC1AA3">
        <w:rPr>
          <w:rFonts w:ascii="ＭＳ 明朝" w:eastAsia="ＭＳ 明朝" w:hAnsi="ＭＳ 明朝" w:cs="ＭＳ 明朝"/>
          <w:color w:val="181717"/>
          <w:sz w:val="21"/>
          <w:szCs w:val="24"/>
        </w:rPr>
        <w:t>１　医療ガス設備の保守点検業務に当たっては、次に掲げる点に留意する。</w:t>
      </w:r>
    </w:p>
    <w:p w14:paraId="4958DBED" w14:textId="77777777" w:rsidR="00BC1AA3" w:rsidRPr="00BC1AA3" w:rsidRDefault="00BC1AA3" w:rsidP="00BC1AA3">
      <w:pPr>
        <w:spacing w:after="92"/>
        <w:ind w:left="149"/>
        <w:rPr>
          <w:rFonts w:ascii="ＭＳ 明朝" w:eastAsia="ＭＳ 明朝" w:hAnsi="ＭＳ 明朝" w:cs="ＭＳ 明朝"/>
          <w:color w:val="181717"/>
          <w:sz w:val="21"/>
          <w:szCs w:val="24"/>
        </w:rPr>
      </w:pPr>
      <w:r w:rsidRPr="00BC1AA3">
        <w:rPr>
          <w:rFonts w:ascii="ＭＳ 明朝" w:eastAsia="ＭＳ 明朝" w:hAnsi="ＭＳ 明朝" w:cs="ＭＳ 明朝"/>
          <w:color w:val="181717"/>
          <w:sz w:val="21"/>
          <w:szCs w:val="24"/>
        </w:rPr>
        <w:t>⑴　医療ガス設備に用いられる機材を医療ガスの種別により特定化し、保守点検業務の実施者及び使用者が医療ガスの種別を容易かつ確実に判別することを可能とすることによって、種別の異なる医療ガス間の非互換性を確保し、誤接続を防止する。</w:t>
      </w:r>
    </w:p>
    <w:p w14:paraId="70F9DF39" w14:textId="77777777" w:rsidR="00BC1AA3" w:rsidRPr="00BC1AA3" w:rsidRDefault="00BC1AA3" w:rsidP="00BC1AA3">
      <w:pPr>
        <w:spacing w:after="92"/>
        <w:ind w:left="149"/>
        <w:rPr>
          <w:rFonts w:ascii="ＭＳ 明朝" w:eastAsia="ＭＳ 明朝" w:hAnsi="ＭＳ 明朝" w:cs="ＭＳ 明朝"/>
          <w:color w:val="181717"/>
          <w:sz w:val="21"/>
          <w:szCs w:val="24"/>
        </w:rPr>
      </w:pPr>
      <w:r w:rsidRPr="00BC1AA3">
        <w:rPr>
          <w:rFonts w:ascii="ＭＳ 明朝" w:eastAsia="ＭＳ 明朝" w:hAnsi="ＭＳ 明朝" w:cs="ＭＳ 明朝"/>
          <w:color w:val="181717"/>
          <w:sz w:val="21"/>
          <w:szCs w:val="24"/>
        </w:rPr>
        <w:t>⑵　適正な使用材料及び部品を選定し、また清潔を維持するために必要な対応を行う。</w:t>
      </w:r>
    </w:p>
    <w:p w14:paraId="0E9B2355" w14:textId="4C8E1F6F" w:rsidR="00BC1AA3" w:rsidRPr="00BC1AA3" w:rsidRDefault="00BC1AA3" w:rsidP="00BC1AA3">
      <w:pPr>
        <w:spacing w:after="92"/>
        <w:ind w:left="149"/>
        <w:rPr>
          <w:sz w:val="24"/>
          <w:szCs w:val="24"/>
        </w:rPr>
      </w:pPr>
      <w:r w:rsidRPr="00BC1AA3">
        <w:rPr>
          <w:rFonts w:ascii="ＭＳ 明朝" w:eastAsia="ＭＳ 明朝" w:hAnsi="ＭＳ 明朝" w:cs="ＭＳ 明朝"/>
          <w:color w:val="181717"/>
          <w:sz w:val="21"/>
          <w:szCs w:val="24"/>
        </w:rPr>
        <w:t>⑶　点検作業の終了後、設備が正常に動作することを確認する。</w:t>
      </w:r>
    </w:p>
    <w:p w14:paraId="70A73BCF" w14:textId="77777777" w:rsidR="00BC1AA3" w:rsidRPr="00BC1AA3" w:rsidRDefault="00BC1AA3" w:rsidP="00BC1AA3">
      <w:pPr>
        <w:numPr>
          <w:ilvl w:val="0"/>
          <w:numId w:val="1"/>
        </w:numPr>
        <w:spacing w:after="0" w:line="355" w:lineRule="auto"/>
        <w:ind w:hanging="347"/>
        <w:rPr>
          <w:sz w:val="24"/>
          <w:szCs w:val="24"/>
        </w:rPr>
      </w:pPr>
      <w:r w:rsidRPr="00BC1AA3">
        <w:rPr>
          <w:rFonts w:ascii="ＭＳ 明朝" w:eastAsia="ＭＳ 明朝" w:hAnsi="ＭＳ 明朝" w:cs="ＭＳ 明朝"/>
          <w:color w:val="181717"/>
          <w:sz w:val="21"/>
          <w:szCs w:val="24"/>
        </w:rPr>
        <w:t xml:space="preserve">　医療ガス設備の保守点検業務（点検作業の終了後の動作確認を含む）は、事前に定められた実施責任者が適切に実施する。</w:t>
      </w:r>
    </w:p>
    <w:p w14:paraId="5AAE736D" w14:textId="77777777" w:rsidR="00BC1AA3" w:rsidRPr="00BC1AA3" w:rsidRDefault="00BC1AA3" w:rsidP="00BC1AA3">
      <w:pPr>
        <w:numPr>
          <w:ilvl w:val="0"/>
          <w:numId w:val="1"/>
        </w:numPr>
        <w:spacing w:after="92"/>
        <w:ind w:hanging="347"/>
        <w:rPr>
          <w:sz w:val="24"/>
          <w:szCs w:val="24"/>
        </w:rPr>
      </w:pPr>
      <w:r w:rsidRPr="00BC1AA3">
        <w:rPr>
          <w:rFonts w:ascii="ＭＳ 明朝" w:eastAsia="ＭＳ 明朝" w:hAnsi="ＭＳ 明朝" w:cs="ＭＳ 明朝"/>
          <w:color w:val="181717"/>
          <w:sz w:val="21"/>
          <w:szCs w:val="24"/>
        </w:rPr>
        <w:t>医療ガス設備の保守点検業務は、下記の要領に従って行う。</w:t>
      </w:r>
    </w:p>
    <w:p w14:paraId="718F06EB" w14:textId="77777777" w:rsidR="00BC1AA3" w:rsidRPr="00BC1AA3" w:rsidRDefault="00BC1AA3" w:rsidP="00BC1AA3">
      <w:pPr>
        <w:spacing w:after="0" w:line="355" w:lineRule="auto"/>
        <w:ind w:left="347" w:right="-6" w:hanging="198"/>
        <w:rPr>
          <w:sz w:val="24"/>
          <w:szCs w:val="24"/>
        </w:rPr>
      </w:pPr>
      <w:r w:rsidRPr="00BC1AA3">
        <w:rPr>
          <w:rFonts w:ascii="ＭＳ 明朝" w:eastAsia="ＭＳ 明朝" w:hAnsi="ＭＳ 明朝" w:cs="ＭＳ 明朝"/>
          <w:color w:val="181717"/>
          <w:sz w:val="21"/>
          <w:szCs w:val="24"/>
        </w:rPr>
        <w:t>⑴　工事施工者が医療ガス設備の完成に当たって、完成図と共に保守点検要領書を提出している場合は、これを常備する。</w:t>
      </w:r>
    </w:p>
    <w:p w14:paraId="17095BE9" w14:textId="77777777" w:rsidR="00BC1AA3" w:rsidRPr="00BC1AA3" w:rsidRDefault="00BC1AA3" w:rsidP="00BC1AA3">
      <w:pPr>
        <w:spacing w:after="0" w:line="355" w:lineRule="auto"/>
        <w:ind w:left="347" w:hanging="198"/>
        <w:jc w:val="both"/>
        <w:rPr>
          <w:sz w:val="24"/>
          <w:szCs w:val="24"/>
        </w:rPr>
      </w:pPr>
      <w:r w:rsidRPr="00BC1AA3">
        <w:rPr>
          <w:rFonts w:ascii="ＭＳ 明朝" w:eastAsia="ＭＳ 明朝" w:hAnsi="ＭＳ 明朝" w:cs="ＭＳ 明朝"/>
          <w:color w:val="181717"/>
          <w:sz w:val="21"/>
          <w:szCs w:val="24"/>
        </w:rPr>
        <w:t>⑵　保守点検業務は、始業点検、日常点検及び定期点検からなり、下記の点に留意して実施する。なお、日常点検及び定期点検について記録を作成し、 ２ 年間保存する。</w:t>
      </w:r>
    </w:p>
    <w:p w14:paraId="5D17BAE8" w14:textId="77777777" w:rsidR="00BC1AA3" w:rsidRPr="00BC1AA3" w:rsidRDefault="00BC1AA3" w:rsidP="00BC1AA3">
      <w:pPr>
        <w:numPr>
          <w:ilvl w:val="1"/>
          <w:numId w:val="1"/>
        </w:numPr>
        <w:spacing w:after="92"/>
        <w:ind w:hanging="397"/>
        <w:rPr>
          <w:sz w:val="24"/>
          <w:szCs w:val="24"/>
        </w:rPr>
      </w:pPr>
      <w:r w:rsidRPr="00BC1AA3">
        <w:rPr>
          <w:rFonts w:ascii="ＭＳ 明朝" w:eastAsia="ＭＳ 明朝" w:hAnsi="ＭＳ 明朝" w:cs="ＭＳ 明朝"/>
          <w:color w:val="181717"/>
          <w:sz w:val="21"/>
          <w:szCs w:val="24"/>
        </w:rPr>
        <w:t>始業点検</w:t>
      </w:r>
    </w:p>
    <w:p w14:paraId="726A3823" w14:textId="77777777" w:rsidR="00BC1AA3" w:rsidRPr="00BC1AA3" w:rsidRDefault="00BC1AA3" w:rsidP="00BC1AA3">
      <w:pPr>
        <w:spacing w:after="0" w:line="355" w:lineRule="auto"/>
        <w:ind w:left="347" w:firstLine="198"/>
        <w:rPr>
          <w:sz w:val="24"/>
          <w:szCs w:val="24"/>
        </w:rPr>
      </w:pPr>
      <w:r w:rsidRPr="00BC1AA3">
        <w:rPr>
          <w:rFonts w:ascii="ＭＳ 明朝" w:eastAsia="ＭＳ 明朝" w:hAnsi="ＭＳ 明朝" w:cs="ＭＳ 明朝"/>
          <w:color w:val="181717"/>
          <w:sz w:val="21"/>
          <w:szCs w:val="24"/>
        </w:rPr>
        <w:t>始業点検とは、患者に使用する医療機器を配管端末器（アウトレット）に接続する前及び接続した際に、当該配管端末器（アウトレット）に次のような異常がないことを確認する。</w:t>
      </w:r>
    </w:p>
    <w:p w14:paraId="6FF87918" w14:textId="77777777" w:rsidR="00BC1AA3" w:rsidRPr="00BC1AA3" w:rsidRDefault="00BC1AA3" w:rsidP="00BC1AA3">
      <w:pPr>
        <w:numPr>
          <w:ilvl w:val="1"/>
          <w:numId w:val="2"/>
        </w:numPr>
        <w:spacing w:after="92"/>
        <w:ind w:hanging="312"/>
        <w:rPr>
          <w:sz w:val="24"/>
          <w:szCs w:val="24"/>
        </w:rPr>
      </w:pPr>
      <w:r w:rsidRPr="00BC1AA3">
        <w:rPr>
          <w:rFonts w:ascii="ＭＳ 明朝" w:eastAsia="ＭＳ 明朝" w:hAnsi="ＭＳ 明朝" w:cs="ＭＳ 明朝"/>
          <w:color w:val="181717"/>
          <w:sz w:val="21"/>
          <w:szCs w:val="24"/>
        </w:rPr>
        <w:t>外観上の異常がない。</w:t>
      </w:r>
    </w:p>
    <w:p w14:paraId="2A4A7A97" w14:textId="77777777" w:rsidR="00BC1AA3" w:rsidRPr="00BC1AA3" w:rsidRDefault="00BC1AA3" w:rsidP="00BC1AA3">
      <w:pPr>
        <w:numPr>
          <w:ilvl w:val="1"/>
          <w:numId w:val="2"/>
        </w:numPr>
        <w:spacing w:after="92"/>
        <w:ind w:hanging="312"/>
        <w:rPr>
          <w:sz w:val="24"/>
          <w:szCs w:val="24"/>
        </w:rPr>
      </w:pPr>
      <w:r w:rsidRPr="00BC1AA3">
        <w:rPr>
          <w:rFonts w:ascii="ＭＳ 明朝" w:eastAsia="ＭＳ 明朝" w:hAnsi="ＭＳ 明朝" w:cs="ＭＳ 明朝"/>
          <w:color w:val="181717"/>
          <w:sz w:val="21"/>
          <w:szCs w:val="24"/>
        </w:rPr>
        <w:t>ロック機能に異常がない。</w:t>
      </w:r>
    </w:p>
    <w:p w14:paraId="064DC9DA" w14:textId="77777777" w:rsidR="00BC1AA3" w:rsidRPr="00BC1AA3" w:rsidRDefault="00BC1AA3" w:rsidP="00BC1AA3">
      <w:pPr>
        <w:numPr>
          <w:ilvl w:val="1"/>
          <w:numId w:val="2"/>
        </w:numPr>
        <w:spacing w:after="92"/>
        <w:ind w:hanging="312"/>
        <w:rPr>
          <w:sz w:val="24"/>
          <w:szCs w:val="24"/>
        </w:rPr>
      </w:pPr>
      <w:r w:rsidRPr="00BC1AA3">
        <w:rPr>
          <w:rFonts w:ascii="ＭＳ 明朝" w:eastAsia="ＭＳ 明朝" w:hAnsi="ＭＳ 明朝" w:cs="ＭＳ 明朝"/>
          <w:color w:val="181717"/>
          <w:sz w:val="21"/>
          <w:szCs w:val="24"/>
        </w:rPr>
        <w:t>ガス漏れの音がしない。</w:t>
      </w:r>
    </w:p>
    <w:p w14:paraId="71455F3F" w14:textId="77777777" w:rsidR="00BC1AA3" w:rsidRPr="00BC1AA3" w:rsidRDefault="00BC1AA3" w:rsidP="00BC1AA3">
      <w:pPr>
        <w:numPr>
          <w:ilvl w:val="1"/>
          <w:numId w:val="2"/>
        </w:numPr>
        <w:spacing w:after="92"/>
        <w:ind w:hanging="312"/>
        <w:rPr>
          <w:sz w:val="24"/>
          <w:szCs w:val="24"/>
        </w:rPr>
      </w:pPr>
      <w:r w:rsidRPr="00BC1AA3">
        <w:rPr>
          <w:rFonts w:ascii="ＭＳ 明朝" w:eastAsia="ＭＳ 明朝" w:hAnsi="ＭＳ 明朝" w:cs="ＭＳ 明朝"/>
          <w:color w:val="181717"/>
          <w:sz w:val="21"/>
          <w:szCs w:val="24"/>
        </w:rPr>
        <w:t>医療ガスの種別の表示（記号、名称、識別色等）が明瞭である。</w:t>
      </w:r>
    </w:p>
    <w:p w14:paraId="0D63F6CA" w14:textId="77777777" w:rsidR="00BC1AA3" w:rsidRPr="00BC1AA3" w:rsidRDefault="00BC1AA3" w:rsidP="00BC1AA3">
      <w:pPr>
        <w:numPr>
          <w:ilvl w:val="1"/>
          <w:numId w:val="2"/>
        </w:numPr>
        <w:spacing w:after="92"/>
        <w:ind w:hanging="312"/>
        <w:rPr>
          <w:sz w:val="24"/>
          <w:szCs w:val="24"/>
        </w:rPr>
      </w:pPr>
      <w:r w:rsidRPr="00BC1AA3">
        <w:rPr>
          <w:rFonts w:ascii="ＭＳ 明朝" w:eastAsia="ＭＳ 明朝" w:hAnsi="ＭＳ 明朝" w:cs="ＭＳ 明朝"/>
          <w:color w:val="181717"/>
          <w:sz w:val="21"/>
          <w:szCs w:val="24"/>
        </w:rPr>
        <w:t>配管端末器（アウトレット）に、使用していない機器等が接続されていない。</w:t>
      </w:r>
    </w:p>
    <w:p w14:paraId="4EFF6372" w14:textId="77777777" w:rsidR="00BC1AA3" w:rsidRPr="00BC1AA3" w:rsidRDefault="00BC1AA3" w:rsidP="00BC1AA3">
      <w:pPr>
        <w:numPr>
          <w:ilvl w:val="1"/>
          <w:numId w:val="1"/>
        </w:numPr>
        <w:spacing w:after="92"/>
        <w:ind w:hanging="397"/>
        <w:rPr>
          <w:sz w:val="24"/>
          <w:szCs w:val="24"/>
        </w:rPr>
      </w:pPr>
      <w:r w:rsidRPr="00BC1AA3">
        <w:rPr>
          <w:rFonts w:ascii="ＭＳ 明朝" w:eastAsia="ＭＳ 明朝" w:hAnsi="ＭＳ 明朝" w:cs="ＭＳ 明朝"/>
          <w:color w:val="181717"/>
          <w:sz w:val="21"/>
          <w:szCs w:val="24"/>
        </w:rPr>
        <w:t>日常点検</w:t>
      </w:r>
    </w:p>
    <w:p w14:paraId="3696F1DE" w14:textId="77777777" w:rsidR="00BC1AA3" w:rsidRPr="00BC1AA3" w:rsidRDefault="00BC1AA3" w:rsidP="00BC1AA3">
      <w:pPr>
        <w:spacing w:after="0" w:line="355" w:lineRule="auto"/>
        <w:ind w:left="744" w:hanging="198"/>
        <w:rPr>
          <w:sz w:val="24"/>
          <w:szCs w:val="24"/>
        </w:rPr>
      </w:pPr>
      <w:r w:rsidRPr="00BC1AA3">
        <w:rPr>
          <w:rFonts w:ascii="ＭＳ 明朝" w:eastAsia="ＭＳ 明朝" w:hAnsi="ＭＳ 明朝" w:cs="ＭＳ 明朝"/>
          <w:color w:val="181717"/>
          <w:sz w:val="21"/>
          <w:szCs w:val="24"/>
        </w:rPr>
        <w:lastRenderedPageBreak/>
        <w:t>ア　日常点検は、 1 日 1 回以上実施する。なお、高圧ガス容器の交換時又は供給設備への医療ガス補充時にも同様の点検作業を実施する。</w:t>
      </w:r>
    </w:p>
    <w:p w14:paraId="57C9A93D" w14:textId="77777777" w:rsidR="00BC1AA3" w:rsidRPr="00BC1AA3" w:rsidRDefault="00BC1AA3" w:rsidP="00BC1AA3">
      <w:pPr>
        <w:spacing w:after="9" w:line="346" w:lineRule="auto"/>
        <w:ind w:left="744" w:right="192" w:hanging="198"/>
        <w:jc w:val="both"/>
        <w:rPr>
          <w:sz w:val="24"/>
          <w:szCs w:val="24"/>
        </w:rPr>
      </w:pPr>
      <w:r w:rsidRPr="00BC1AA3">
        <w:rPr>
          <w:rFonts w:ascii="ＭＳ 明朝" w:eastAsia="ＭＳ 明朝" w:hAnsi="ＭＳ 明朝" w:cs="ＭＳ 明朝"/>
          <w:color w:val="181717"/>
          <w:sz w:val="21"/>
          <w:szCs w:val="24"/>
        </w:rPr>
        <w:t>イ　日常点検は、警報表示盤、供給設備（マニフォールド、定置式超低温液化ガス貯槽（CE）、圧縮空気供給装置及び吸引供給装置）のそれぞれに対し、様式 1 ― 1 から様式 1 ― ３ （</w:t>
      </w:r>
      <w:r w:rsidRPr="00BC1AA3">
        <w:rPr>
          <w:rFonts w:ascii="ＭＳ 明朝" w:eastAsia="ＭＳ 明朝" w:hAnsi="ＭＳ 明朝" w:cs="ＭＳ 明朝"/>
          <w:b/>
          <w:color w:val="181717"/>
          <w:sz w:val="21"/>
          <w:szCs w:val="24"/>
        </w:rPr>
        <w:t>76～ 77</w:t>
      </w:r>
      <w:r w:rsidRPr="00BC1AA3">
        <w:rPr>
          <w:rFonts w:ascii="ＭＳ 明朝" w:eastAsia="ＭＳ 明朝" w:hAnsi="ＭＳ 明朝" w:cs="ＭＳ 明朝"/>
          <w:color w:val="181717"/>
          <w:sz w:val="21"/>
          <w:szCs w:val="24"/>
        </w:rPr>
        <w:t>頁参照）のチェックリストに準拠して実施する。なお、日常点検後に、点検作業を実施した全ての医療ガス設備が安全で、かつ所定の機能が復旧していることを確認する。</w:t>
      </w:r>
    </w:p>
    <w:p w14:paraId="6E6E6FF6" w14:textId="77777777" w:rsidR="00BC1AA3" w:rsidRPr="00BC1AA3" w:rsidRDefault="00BC1AA3" w:rsidP="00BC1AA3">
      <w:pPr>
        <w:numPr>
          <w:ilvl w:val="1"/>
          <w:numId w:val="1"/>
        </w:numPr>
        <w:spacing w:after="92"/>
        <w:ind w:hanging="397"/>
        <w:rPr>
          <w:sz w:val="24"/>
          <w:szCs w:val="24"/>
        </w:rPr>
      </w:pPr>
      <w:r w:rsidRPr="00BC1AA3">
        <w:rPr>
          <w:rFonts w:ascii="ＭＳ 明朝" w:eastAsia="ＭＳ 明朝" w:hAnsi="ＭＳ 明朝" w:cs="ＭＳ 明朝"/>
          <w:color w:val="181717"/>
          <w:sz w:val="21"/>
          <w:szCs w:val="24"/>
        </w:rPr>
        <w:t>定期点検</w:t>
      </w:r>
    </w:p>
    <w:p w14:paraId="1DCA124D" w14:textId="77777777" w:rsidR="00BC1AA3" w:rsidRPr="00BC1AA3" w:rsidRDefault="00BC1AA3" w:rsidP="00BC1AA3">
      <w:pPr>
        <w:spacing w:after="0" w:line="355" w:lineRule="auto"/>
        <w:ind w:left="744" w:hanging="198"/>
        <w:rPr>
          <w:sz w:val="24"/>
          <w:szCs w:val="24"/>
        </w:rPr>
      </w:pPr>
      <w:r w:rsidRPr="00BC1AA3">
        <w:rPr>
          <w:rFonts w:ascii="ＭＳ 明朝" w:eastAsia="ＭＳ 明朝" w:hAnsi="ＭＳ 明朝" w:cs="ＭＳ 明朝"/>
          <w:color w:val="181717"/>
          <w:sz w:val="21"/>
          <w:szCs w:val="24"/>
        </w:rPr>
        <w:t>ア　定期点検の実施に当たっては、病院等内の関係する各臨床部門の職員に対して、実施日程と実施内容を周知徹底する。</w:t>
      </w:r>
    </w:p>
    <w:p w14:paraId="6C2CD708" w14:textId="77777777" w:rsidR="00BC1AA3" w:rsidRPr="00BC1AA3" w:rsidRDefault="00BC1AA3" w:rsidP="00BC1AA3">
      <w:pPr>
        <w:spacing w:after="4" w:line="351" w:lineRule="auto"/>
        <w:ind w:left="744" w:right="192" w:hanging="198"/>
        <w:jc w:val="both"/>
        <w:rPr>
          <w:sz w:val="24"/>
          <w:szCs w:val="24"/>
        </w:rPr>
      </w:pPr>
      <w:r w:rsidRPr="00BC1AA3">
        <w:rPr>
          <w:rFonts w:ascii="ＭＳ 明朝" w:eastAsia="ＭＳ 明朝" w:hAnsi="ＭＳ 明朝" w:cs="ＭＳ 明朝"/>
          <w:color w:val="181717"/>
          <w:sz w:val="21"/>
          <w:szCs w:val="24"/>
        </w:rPr>
        <w:t>イ　定期点検は、配管端末器（アウトレット）、区域別遮断弁（シャットオフバルブ）及び供給設備（マニフォールド、定置式超低温液化ガス貯槽（CE）、圧縮空気供給装置及び吸引供給装置）のそれぞれに対し、様式 ２ ― 1 から様式 ２ ― 6 （</w:t>
      </w:r>
      <w:r w:rsidRPr="00BC1AA3">
        <w:rPr>
          <w:rFonts w:ascii="ＭＳ 明朝" w:eastAsia="ＭＳ 明朝" w:hAnsi="ＭＳ 明朝" w:cs="ＭＳ 明朝"/>
          <w:b/>
          <w:color w:val="181717"/>
          <w:sz w:val="21"/>
          <w:szCs w:val="24"/>
        </w:rPr>
        <w:t>78～81</w:t>
      </w:r>
      <w:r w:rsidRPr="00BC1AA3">
        <w:rPr>
          <w:rFonts w:ascii="ＭＳ 明朝" w:eastAsia="ＭＳ 明朝" w:hAnsi="ＭＳ 明朝" w:cs="ＭＳ 明朝"/>
          <w:color w:val="181717"/>
          <w:sz w:val="21"/>
          <w:szCs w:val="24"/>
        </w:rPr>
        <w:t>頁参照）のチェックリストに準拠して行う。また、点検作業の間隔についても、これらの様式に準拠する。</w:t>
      </w:r>
    </w:p>
    <w:p w14:paraId="0F423D8D" w14:textId="77777777" w:rsidR="00BC1AA3" w:rsidRPr="00BC1AA3" w:rsidRDefault="00BC1AA3" w:rsidP="00BC1AA3">
      <w:pPr>
        <w:spacing w:after="0" w:line="355" w:lineRule="auto"/>
        <w:ind w:left="942" w:hanging="198"/>
        <w:rPr>
          <w:sz w:val="24"/>
          <w:szCs w:val="24"/>
        </w:rPr>
      </w:pPr>
      <w:r w:rsidRPr="00BC1AA3">
        <w:rPr>
          <w:rFonts w:ascii="ＭＳ 明朝" w:eastAsia="ＭＳ 明朝" w:hAnsi="ＭＳ 明朝" w:cs="ＭＳ 明朝"/>
          <w:color w:val="181717"/>
          <w:sz w:val="21"/>
          <w:szCs w:val="24"/>
        </w:rPr>
        <w:t>※３ カ月点検、 6 カ月点検、 1 年点検として定められた項目があるため、チェックリストを参照されたい。</w:t>
      </w:r>
    </w:p>
    <w:p w14:paraId="7B401692" w14:textId="77777777" w:rsidR="00BC1AA3" w:rsidRPr="00BC1AA3" w:rsidRDefault="00BC1AA3" w:rsidP="00BC1AA3">
      <w:pPr>
        <w:spacing w:after="0" w:line="355" w:lineRule="auto"/>
        <w:ind w:left="744" w:hanging="198"/>
        <w:rPr>
          <w:sz w:val="24"/>
          <w:szCs w:val="24"/>
        </w:rPr>
      </w:pPr>
      <w:r w:rsidRPr="00BC1AA3">
        <w:rPr>
          <w:rFonts w:ascii="ＭＳ 明朝" w:eastAsia="ＭＳ 明朝" w:hAnsi="ＭＳ 明朝" w:cs="ＭＳ 明朝"/>
          <w:color w:val="181717"/>
          <w:sz w:val="21"/>
          <w:szCs w:val="24"/>
        </w:rPr>
        <w:t>ウ　点検作業のため、医療ガス設備の一部を一時閉止する際は、関係する区域の各臨床部門の職員と事前に十分な打合せを行う。また、医療ガスを停止した区域別遮断弁（シャットオフバルブ）又は主遮断弁（メインシャットオフバルブ）及びその系統の全ての配管端末器（アウトレット）に、「使用禁止」等の注意表示を付する。</w:t>
      </w:r>
    </w:p>
    <w:p w14:paraId="2A5D1432" w14:textId="64AEE2C3" w:rsidR="009121E8" w:rsidRPr="00BC1AA3" w:rsidRDefault="00BC1AA3" w:rsidP="00BC1AA3">
      <w:pPr>
        <w:rPr>
          <w:sz w:val="24"/>
          <w:szCs w:val="24"/>
        </w:rPr>
      </w:pPr>
      <w:r w:rsidRPr="00BC1AA3">
        <w:rPr>
          <w:rFonts w:ascii="ＭＳ 明朝" w:eastAsia="ＭＳ 明朝" w:hAnsi="ＭＳ 明朝" w:cs="ＭＳ 明朝"/>
          <w:color w:val="181717"/>
          <w:sz w:val="21"/>
          <w:szCs w:val="24"/>
        </w:rPr>
        <w:t>エ　定期点検後に、点検作業を実施した全ての医療ガス設備が安全で、かつその所定の機能が復旧していることを確認する。</w:t>
      </w:r>
    </w:p>
    <w:sectPr w:rsidR="009121E8" w:rsidRPr="00BC1A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9E92" w14:textId="77777777" w:rsidR="008F0B4E" w:rsidRDefault="008F0B4E" w:rsidP="00BC1AA3">
      <w:pPr>
        <w:spacing w:after="0" w:line="240" w:lineRule="auto"/>
      </w:pPr>
      <w:r>
        <w:separator/>
      </w:r>
    </w:p>
  </w:endnote>
  <w:endnote w:type="continuationSeparator" w:id="0">
    <w:p w14:paraId="6654C3D9" w14:textId="77777777" w:rsidR="008F0B4E" w:rsidRDefault="008F0B4E" w:rsidP="00BC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A47E" w14:textId="77777777" w:rsidR="008F0B4E" w:rsidRDefault="008F0B4E" w:rsidP="00BC1AA3">
      <w:pPr>
        <w:spacing w:after="0" w:line="240" w:lineRule="auto"/>
      </w:pPr>
      <w:r>
        <w:separator/>
      </w:r>
    </w:p>
  </w:footnote>
  <w:footnote w:type="continuationSeparator" w:id="0">
    <w:p w14:paraId="712CEDA5" w14:textId="77777777" w:rsidR="008F0B4E" w:rsidRDefault="008F0B4E" w:rsidP="00BC1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614"/>
    <w:multiLevelType w:val="hybridMultilevel"/>
    <w:tmpl w:val="3306CEB6"/>
    <w:lvl w:ilvl="0" w:tplc="712041FE">
      <w:start w:val="1"/>
      <w:numFmt w:val="decimal"/>
      <w:lvlText w:val="%1"/>
      <w:lvlJc w:val="left"/>
      <w:pPr>
        <w:ind w:left="360"/>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1" w:tplc="DA98B492">
      <w:start w:val="1"/>
      <w:numFmt w:val="lowerLetter"/>
      <w:lvlText w:val="%2"/>
      <w:lvlJc w:val="left"/>
      <w:pPr>
        <w:ind w:left="858"/>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D70A456E">
      <w:start w:val="1"/>
      <w:numFmt w:val="lowerRoman"/>
      <w:lvlText w:val="%3"/>
      <w:lvlJc w:val="left"/>
      <w:pPr>
        <w:ind w:left="1871"/>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3" w:tplc="01904EEE">
      <w:start w:val="1"/>
      <w:numFmt w:val="decimal"/>
      <w:lvlText w:val="%4"/>
      <w:lvlJc w:val="left"/>
      <w:pPr>
        <w:ind w:left="2591"/>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4" w:tplc="70F8509C">
      <w:start w:val="1"/>
      <w:numFmt w:val="lowerLetter"/>
      <w:lvlText w:val="%5"/>
      <w:lvlJc w:val="left"/>
      <w:pPr>
        <w:ind w:left="3311"/>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5" w:tplc="C6D0D5C2">
      <w:start w:val="1"/>
      <w:numFmt w:val="lowerRoman"/>
      <w:lvlText w:val="%6"/>
      <w:lvlJc w:val="left"/>
      <w:pPr>
        <w:ind w:left="4031"/>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6" w:tplc="1618EE6C">
      <w:start w:val="1"/>
      <w:numFmt w:val="decimal"/>
      <w:lvlText w:val="%7"/>
      <w:lvlJc w:val="left"/>
      <w:pPr>
        <w:ind w:left="4751"/>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7" w:tplc="5A725D38">
      <w:start w:val="1"/>
      <w:numFmt w:val="lowerLetter"/>
      <w:lvlText w:val="%8"/>
      <w:lvlJc w:val="left"/>
      <w:pPr>
        <w:ind w:left="5471"/>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8" w:tplc="BB068DB2">
      <w:start w:val="1"/>
      <w:numFmt w:val="lowerRoman"/>
      <w:lvlText w:val="%9"/>
      <w:lvlJc w:val="left"/>
      <w:pPr>
        <w:ind w:left="6191"/>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C4E16BE"/>
    <w:multiLevelType w:val="hybridMultilevel"/>
    <w:tmpl w:val="0BE4A098"/>
    <w:lvl w:ilvl="0" w:tplc="CA9A160A">
      <w:start w:val="2"/>
      <w:numFmt w:val="decimalFullWidth"/>
      <w:lvlText w:val="%1"/>
      <w:lvlJc w:val="left"/>
      <w:pPr>
        <w:ind w:left="347"/>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lang w:val="en-US"/>
      </w:rPr>
    </w:lvl>
    <w:lvl w:ilvl="1" w:tplc="52CCD328">
      <w:start w:val="1"/>
      <w:numFmt w:val="decimalEnclosedCircle"/>
      <w:lvlText w:val="%2"/>
      <w:lvlJc w:val="left"/>
      <w:pPr>
        <w:ind w:left="744"/>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70283D52">
      <w:start w:val="1"/>
      <w:numFmt w:val="lowerRoman"/>
      <w:lvlText w:val="%3"/>
      <w:lvlJc w:val="left"/>
      <w:pPr>
        <w:ind w:left="167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3" w:tplc="C5FA878A">
      <w:start w:val="1"/>
      <w:numFmt w:val="decimal"/>
      <w:lvlText w:val="%4"/>
      <w:lvlJc w:val="left"/>
      <w:pPr>
        <w:ind w:left="239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4" w:tplc="4B625D2A">
      <w:start w:val="1"/>
      <w:numFmt w:val="lowerLetter"/>
      <w:lvlText w:val="%5"/>
      <w:lvlJc w:val="left"/>
      <w:pPr>
        <w:ind w:left="311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5" w:tplc="9EF80E6A">
      <w:start w:val="1"/>
      <w:numFmt w:val="lowerRoman"/>
      <w:lvlText w:val="%6"/>
      <w:lvlJc w:val="left"/>
      <w:pPr>
        <w:ind w:left="383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6" w:tplc="350C992C">
      <w:start w:val="1"/>
      <w:numFmt w:val="decimal"/>
      <w:lvlText w:val="%7"/>
      <w:lvlJc w:val="left"/>
      <w:pPr>
        <w:ind w:left="455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7" w:tplc="A37E89E4">
      <w:start w:val="1"/>
      <w:numFmt w:val="lowerLetter"/>
      <w:lvlText w:val="%8"/>
      <w:lvlJc w:val="left"/>
      <w:pPr>
        <w:ind w:left="527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8" w:tplc="8A06ACF0">
      <w:start w:val="1"/>
      <w:numFmt w:val="lowerRoman"/>
      <w:lvlText w:val="%9"/>
      <w:lvlJc w:val="left"/>
      <w:pPr>
        <w:ind w:left="599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51"/>
    <w:rsid w:val="008F0B4E"/>
    <w:rsid w:val="009121E8"/>
    <w:rsid w:val="00BC1AA3"/>
    <w:rsid w:val="00DB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33C53"/>
  <w15:chartTrackingRefBased/>
  <w15:docId w15:val="{2621BD75-BD2F-455A-802D-1EF1EF27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AA3"/>
    <w:pPr>
      <w:spacing w:after="160" w:line="259" w:lineRule="auto"/>
    </w:pPr>
    <w:rPr>
      <w:rFonts w:ascii="Calibri" w:eastAsia="Calibri" w:hAnsi="Calibri" w:cs="Calibri"/>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AA3"/>
    <w:pPr>
      <w:tabs>
        <w:tab w:val="center" w:pos="4252"/>
        <w:tab w:val="right" w:pos="8504"/>
      </w:tabs>
      <w:snapToGrid w:val="0"/>
    </w:pPr>
  </w:style>
  <w:style w:type="character" w:customStyle="1" w:styleId="a4">
    <w:name w:val="ヘッダー (文字)"/>
    <w:basedOn w:val="a0"/>
    <w:link w:val="a3"/>
    <w:uiPriority w:val="99"/>
    <w:rsid w:val="00BC1AA3"/>
  </w:style>
  <w:style w:type="paragraph" w:styleId="a5">
    <w:name w:val="footer"/>
    <w:basedOn w:val="a"/>
    <w:link w:val="a6"/>
    <w:uiPriority w:val="99"/>
    <w:unhideWhenUsed/>
    <w:rsid w:val="00BC1AA3"/>
    <w:pPr>
      <w:tabs>
        <w:tab w:val="center" w:pos="4252"/>
        <w:tab w:val="right" w:pos="8504"/>
      </w:tabs>
      <w:snapToGrid w:val="0"/>
    </w:pPr>
  </w:style>
  <w:style w:type="character" w:customStyle="1" w:styleId="a6">
    <w:name w:val="フッター (文字)"/>
    <w:basedOn w:val="a0"/>
    <w:link w:val="a5"/>
    <w:uiPriority w:val="99"/>
    <w:rsid w:val="00BC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知佳</dc:creator>
  <cp:keywords/>
  <dc:description/>
  <cp:lastModifiedBy>田中 知佳</cp:lastModifiedBy>
  <cp:revision>2</cp:revision>
  <dcterms:created xsi:type="dcterms:W3CDTF">2021-07-29T07:12:00Z</dcterms:created>
  <dcterms:modified xsi:type="dcterms:W3CDTF">2021-07-29T07:16:00Z</dcterms:modified>
</cp:coreProperties>
</file>